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68632" w14:textId="4CCEAEC0" w:rsidR="00C7177E" w:rsidRPr="00C7177E" w:rsidRDefault="00C7177E" w:rsidP="0031544B">
      <w:pPr>
        <w:jc w:val="center"/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eastAsia="en-GB"/>
        </w:rPr>
      </w:pPr>
      <w:r w:rsidRPr="00A36BCD">
        <w:rPr>
          <w:rStyle w:val="Hyperlink"/>
          <w:rFonts w:ascii="Arial" w:eastAsia="Times New Roman" w:hAnsi="Arial" w:cs="Arial" w:hint="cs"/>
          <w:b/>
          <w:bCs/>
          <w:sz w:val="32"/>
          <w:szCs w:val="32"/>
          <w:u w:val="none"/>
          <w:rtl/>
          <w:lang w:eastAsia="en-GB"/>
        </w:rPr>
        <w:t xml:space="preserve">صيغة التمويل: لبنات حشد الموارد الناجح- </w:t>
      </w:r>
      <w:r w:rsidRPr="00C7177E">
        <w:rPr>
          <w:rStyle w:val="Hyperlink"/>
          <w:rFonts w:ascii="Arial" w:eastAsia="Times New Roman" w:hAnsi="Arial" w:cs="Arial" w:hint="cs"/>
          <w:b/>
          <w:bCs/>
          <w:sz w:val="32"/>
          <w:szCs w:val="32"/>
          <w:rtl/>
          <w:lang w:eastAsia="en-GB"/>
        </w:rPr>
        <w:t>الجدار</w:t>
      </w:r>
    </w:p>
    <w:p w14:paraId="5C22EE88" w14:textId="39D663C5" w:rsidR="00F07A19" w:rsidRDefault="00F07A19" w:rsidP="005D0A17"/>
    <w:tbl>
      <w:tblPr>
        <w:tblStyle w:val="TableGrid"/>
        <w:tblW w:w="219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97"/>
        <w:gridCol w:w="2690"/>
        <w:gridCol w:w="148"/>
        <w:gridCol w:w="113"/>
        <w:gridCol w:w="22"/>
        <w:gridCol w:w="284"/>
        <w:gridCol w:w="1984"/>
        <w:gridCol w:w="142"/>
        <w:gridCol w:w="7"/>
        <w:gridCol w:w="512"/>
        <w:gridCol w:w="190"/>
        <w:gridCol w:w="1417"/>
        <w:gridCol w:w="433"/>
        <w:gridCol w:w="418"/>
        <w:gridCol w:w="493"/>
        <w:gridCol w:w="358"/>
        <w:gridCol w:w="999"/>
        <w:gridCol w:w="135"/>
        <w:gridCol w:w="850"/>
        <w:gridCol w:w="743"/>
        <w:gridCol w:w="533"/>
        <w:gridCol w:w="709"/>
        <w:gridCol w:w="6"/>
        <w:gridCol w:w="419"/>
        <w:gridCol w:w="709"/>
        <w:gridCol w:w="2551"/>
        <w:gridCol w:w="2126"/>
        <w:gridCol w:w="234"/>
        <w:gridCol w:w="63"/>
      </w:tblGrid>
      <w:tr w:rsidR="00F261EE" w14:paraId="29B547BF" w14:textId="77777777" w:rsidTr="000C7319">
        <w:trPr>
          <w:gridAfter w:val="1"/>
          <w:wAfter w:w="63" w:type="dxa"/>
          <w:trHeight w:val="2211"/>
        </w:trPr>
        <w:tc>
          <w:tcPr>
            <w:tcW w:w="26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79E211A" w14:textId="7DF12AE7" w:rsidR="00F261EE" w:rsidRPr="00852C63" w:rsidRDefault="00852C63" w:rsidP="00EA477D">
            <w:pPr>
              <w:jc w:val="center"/>
              <w:rPr>
                <w:rFonts w:cstheme="minorHAnsi"/>
                <w:b/>
                <w:color w:val="00B050"/>
                <w:sz w:val="36"/>
                <w:szCs w:val="36"/>
                <w:rtl/>
              </w:rPr>
            </w:pPr>
            <w:r w:rsidRPr="00852C63">
              <w:rPr>
                <w:rFonts w:cstheme="minorHAnsi" w:hint="cs"/>
                <w:b/>
                <w:color w:val="00B050"/>
                <w:sz w:val="36"/>
                <w:szCs w:val="36"/>
                <w:rtl/>
              </w:rPr>
              <w:t>المرحلة 6:</w:t>
            </w:r>
          </w:p>
          <w:p w14:paraId="2807C8E5" w14:textId="7FF36A2A" w:rsidR="00852C63" w:rsidRPr="00852C63" w:rsidRDefault="00852C63" w:rsidP="00EA477D">
            <w:pPr>
              <w:jc w:val="center"/>
              <w:rPr>
                <w:rFonts w:cstheme="minorHAnsi"/>
                <w:b/>
                <w:color w:val="00B050"/>
                <w:sz w:val="36"/>
                <w:szCs w:val="36"/>
              </w:rPr>
            </w:pPr>
            <w:r w:rsidRPr="00852C63">
              <w:rPr>
                <w:rFonts w:cstheme="minorHAnsi" w:hint="cs"/>
                <w:b/>
                <w:color w:val="00B050"/>
                <w:sz w:val="36"/>
                <w:szCs w:val="36"/>
                <w:rtl/>
              </w:rPr>
              <w:t>مسار العروض/العطاءات</w:t>
            </w:r>
          </w:p>
          <w:p w14:paraId="7DA4A196" w14:textId="383CD507" w:rsidR="00F261EE" w:rsidRDefault="00F261EE" w:rsidP="00EA477D">
            <w:pPr>
              <w:jc w:val="center"/>
            </w:pPr>
          </w:p>
        </w:tc>
        <w:tc>
          <w:tcPr>
            <w:tcW w:w="32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9F8C86B" w14:textId="3F9DB4F0" w:rsidR="00F261EE" w:rsidRPr="002B448C" w:rsidRDefault="002B448C" w:rsidP="00EA477D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2B448C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تطوير إستراتيجيتك لحشد الموارد</w:t>
            </w:r>
          </w:p>
        </w:tc>
        <w:tc>
          <w:tcPr>
            <w:tcW w:w="283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82D5630" w14:textId="7B417AA7" w:rsidR="00F261EE" w:rsidRPr="00AB556A" w:rsidRDefault="002B448C" w:rsidP="00AB556A">
            <w:pPr>
              <w:bidi/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</w:pPr>
            <w:r w:rsidRPr="00AB556A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الأطر المنطقية ونظرية التغيير</w:t>
            </w:r>
          </w:p>
        </w:tc>
        <w:tc>
          <w:tcPr>
            <w:tcW w:w="31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E503472" w14:textId="742694B5" w:rsidR="00F261EE" w:rsidRPr="005E1FD8" w:rsidRDefault="005E1FD8" w:rsidP="00EA477D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5E1FD8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تنفيذ إستراتيجية حشد الموارد</w:t>
            </w:r>
          </w:p>
        </w:tc>
        <w:tc>
          <w:tcPr>
            <w:tcW w:w="27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5F8DE6C" w14:textId="27D3973D" w:rsidR="00F261EE" w:rsidRPr="005E1FD8" w:rsidRDefault="005E1FD8" w:rsidP="00EA477D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5E1FD8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مسار العطاءات/العروض والنماذج</w:t>
            </w:r>
          </w:p>
        </w:tc>
        <w:tc>
          <w:tcPr>
            <w:tcW w:w="23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81E6127" w14:textId="77777777" w:rsidR="00443056" w:rsidRDefault="00FE4E54" w:rsidP="00443056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  <w:rtl/>
              </w:rPr>
            </w:pPr>
            <w:r w:rsidRPr="00FE4E54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إعداد</w:t>
            </w:r>
            <w:r w:rsidR="00443056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 xml:space="preserve"> وتقديم </w:t>
            </w:r>
            <w:r w:rsidR="00443056" w:rsidRPr="00443056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العطاءات/</w:t>
            </w:r>
          </w:p>
          <w:p w14:paraId="07798305" w14:textId="41B56CDE" w:rsidR="00F261EE" w:rsidRPr="00FE4E54" w:rsidRDefault="00443056" w:rsidP="00443056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443056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العرو</w:t>
            </w:r>
            <w:r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ض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BA4099E" w14:textId="62315075" w:rsidR="00F261EE" w:rsidRPr="00FE4E54" w:rsidRDefault="00FE4E54" w:rsidP="00EA477D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FE4E54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المبادئ التوجيهية لمقترحات التمويل</w:t>
            </w:r>
          </w:p>
        </w:tc>
        <w:tc>
          <w:tcPr>
            <w:tcW w:w="23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06D173" w14:textId="77777777" w:rsidR="008A1807" w:rsidRPr="00B30C46" w:rsidRDefault="008A1807" w:rsidP="00695119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  <w:rtl/>
              </w:rPr>
            </w:pPr>
            <w:r w:rsidRPr="00B30C46">
              <w:rPr>
                <w:rFonts w:cstheme="minorHAnsi" w:hint="cs"/>
                <w:b/>
                <w:color w:val="00B050"/>
                <w:sz w:val="24"/>
                <w:szCs w:val="24"/>
                <w:rtl/>
              </w:rPr>
              <w:t>فريق العطاءات/العروض</w:t>
            </w:r>
          </w:p>
          <w:p w14:paraId="69135AF4" w14:textId="77777777" w:rsidR="008A1807" w:rsidRPr="00B30C46" w:rsidRDefault="008A1807" w:rsidP="00695119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  <w:rtl/>
              </w:rPr>
            </w:pPr>
            <w:r w:rsidRPr="00B30C46">
              <w:rPr>
                <w:rFonts w:cstheme="minorHAnsi" w:hint="cs"/>
                <w:b/>
                <w:color w:val="00B050"/>
                <w:sz w:val="24"/>
                <w:szCs w:val="24"/>
                <w:rtl/>
              </w:rPr>
              <w:t>أعضاء مجلس الإدارة</w:t>
            </w:r>
          </w:p>
          <w:p w14:paraId="01B4C6F6" w14:textId="77777777" w:rsidR="008A1807" w:rsidRPr="00B30C46" w:rsidRDefault="008A1807" w:rsidP="00695119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  <w:rtl/>
              </w:rPr>
            </w:pPr>
            <w:r w:rsidRPr="00B30C46">
              <w:rPr>
                <w:rFonts w:cstheme="minorHAnsi" w:hint="cs"/>
                <w:b/>
                <w:color w:val="00B050"/>
                <w:sz w:val="24"/>
                <w:szCs w:val="24"/>
                <w:rtl/>
              </w:rPr>
              <w:t>المدراء</w:t>
            </w:r>
          </w:p>
          <w:p w14:paraId="4B41EAED" w14:textId="77777777" w:rsidR="008A1807" w:rsidRPr="00B30C46" w:rsidRDefault="008A1807" w:rsidP="00695119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  <w:rtl/>
              </w:rPr>
            </w:pPr>
            <w:r w:rsidRPr="00B30C46">
              <w:rPr>
                <w:rFonts w:cstheme="minorHAnsi" w:hint="cs"/>
                <w:b/>
                <w:color w:val="00B050"/>
                <w:sz w:val="24"/>
                <w:szCs w:val="24"/>
                <w:rtl/>
              </w:rPr>
              <w:t>البرامج</w:t>
            </w:r>
          </w:p>
          <w:p w14:paraId="3F589C60" w14:textId="77777777" w:rsidR="008A1807" w:rsidRPr="00B30C46" w:rsidRDefault="008A1807" w:rsidP="00695119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  <w:rtl/>
              </w:rPr>
            </w:pPr>
            <w:r w:rsidRPr="00B30C46">
              <w:rPr>
                <w:rFonts w:cstheme="minorHAnsi" w:hint="cs"/>
                <w:b/>
                <w:color w:val="00B050"/>
                <w:sz w:val="24"/>
                <w:szCs w:val="24"/>
                <w:rtl/>
              </w:rPr>
              <w:t>الشؤون المالية</w:t>
            </w:r>
          </w:p>
          <w:p w14:paraId="40941A21" w14:textId="77777777" w:rsidR="008A1807" w:rsidRPr="00B30C46" w:rsidRDefault="008A1807" w:rsidP="00695119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  <w:rtl/>
              </w:rPr>
            </w:pPr>
            <w:r w:rsidRPr="00B30C46">
              <w:rPr>
                <w:rFonts w:cstheme="minorHAnsi" w:hint="cs"/>
                <w:b/>
                <w:color w:val="00B050"/>
                <w:sz w:val="24"/>
                <w:szCs w:val="24"/>
                <w:rtl/>
              </w:rPr>
              <w:t>الموارد البشرية</w:t>
            </w:r>
          </w:p>
          <w:p w14:paraId="3F11D215" w14:textId="2FC8E968" w:rsidR="008A1807" w:rsidRPr="007B663F" w:rsidRDefault="008A1807" w:rsidP="00695119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B30C46">
              <w:rPr>
                <w:rFonts w:cstheme="minorHAnsi" w:hint="cs"/>
                <w:b/>
                <w:color w:val="00B050"/>
                <w:sz w:val="24"/>
                <w:szCs w:val="24"/>
                <w:rtl/>
              </w:rPr>
              <w:t>المناصرة</w:t>
            </w:r>
          </w:p>
        </w:tc>
      </w:tr>
      <w:tr w:rsidR="00F261EE" w14:paraId="2CD23239" w14:textId="77777777" w:rsidTr="00F261EE">
        <w:trPr>
          <w:trHeight w:val="2211"/>
        </w:trPr>
        <w:tc>
          <w:tcPr>
            <w:tcW w:w="26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368B0D8" w14:textId="77777777" w:rsidR="005433C9" w:rsidRPr="005433C9" w:rsidRDefault="005433C9" w:rsidP="00DC7E07">
            <w:pPr>
              <w:jc w:val="center"/>
              <w:rPr>
                <w:rFonts w:cstheme="minorHAnsi"/>
                <w:b/>
                <w:color w:val="92D050"/>
                <w:sz w:val="36"/>
                <w:szCs w:val="36"/>
                <w:rtl/>
              </w:rPr>
            </w:pPr>
            <w:r w:rsidRPr="005433C9">
              <w:rPr>
                <w:rFonts w:cstheme="minorHAnsi" w:hint="cs"/>
                <w:b/>
                <w:color w:val="92D050"/>
                <w:sz w:val="36"/>
                <w:szCs w:val="36"/>
                <w:rtl/>
              </w:rPr>
              <w:t>المرحلة 5:</w:t>
            </w:r>
          </w:p>
          <w:p w14:paraId="50C832B5" w14:textId="77777777" w:rsidR="00852C63" w:rsidRDefault="005433C9" w:rsidP="00DC7E07">
            <w:pPr>
              <w:jc w:val="center"/>
              <w:rPr>
                <w:rFonts w:cstheme="minorHAnsi"/>
                <w:b/>
                <w:color w:val="92D050"/>
                <w:sz w:val="36"/>
                <w:szCs w:val="28"/>
                <w:rtl/>
              </w:rPr>
            </w:pPr>
            <w:r>
              <w:rPr>
                <w:rFonts w:cstheme="minorHAnsi" w:hint="cs"/>
                <w:b/>
                <w:color w:val="92D050"/>
                <w:sz w:val="36"/>
                <w:szCs w:val="28"/>
                <w:rtl/>
              </w:rPr>
              <w:t>بناء</w:t>
            </w:r>
          </w:p>
          <w:p w14:paraId="2A8E353E" w14:textId="142E56E4" w:rsidR="00F261EE" w:rsidRPr="00852C63" w:rsidRDefault="005433C9" w:rsidP="00DC7E07">
            <w:pPr>
              <w:jc w:val="center"/>
              <w:rPr>
                <w:rFonts w:cstheme="minorHAnsi"/>
                <w:b/>
                <w:color w:val="92D050"/>
                <w:sz w:val="36"/>
                <w:szCs w:val="36"/>
              </w:rPr>
            </w:pPr>
            <w:r w:rsidRPr="00852C63">
              <w:rPr>
                <w:rFonts w:cstheme="minorHAnsi" w:hint="cs"/>
                <w:b/>
                <w:color w:val="92D050"/>
                <w:sz w:val="36"/>
                <w:szCs w:val="36"/>
                <w:rtl/>
              </w:rPr>
              <w:t xml:space="preserve"> العلاقات</w:t>
            </w:r>
            <w:r w:rsidR="00F261EE" w:rsidRPr="00852C63">
              <w:rPr>
                <w:rFonts w:cstheme="minorHAnsi"/>
                <w:b/>
                <w:color w:val="92D050"/>
                <w:sz w:val="36"/>
                <w:szCs w:val="36"/>
              </w:rPr>
              <w:t xml:space="preserve"> </w:t>
            </w:r>
          </w:p>
        </w:tc>
        <w:tc>
          <w:tcPr>
            <w:tcW w:w="2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A2A3648" w14:textId="3FABBB37" w:rsidR="00F261EE" w:rsidRPr="000148D0" w:rsidRDefault="000148D0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0148D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ت</w:t>
            </w:r>
            <w:r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متين</w:t>
            </w:r>
            <w:r w:rsidRPr="000148D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 xml:space="preserve"> العلاقات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3071382E" w14:textId="2B8E26D1" w:rsidR="00F261EE" w:rsidRPr="000961B2" w:rsidRDefault="000961B2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0961B2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كيف (لا) تقنع/ين المانحين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02851641" w14:textId="3802C9F0" w:rsidR="00F261EE" w:rsidRPr="000148D0" w:rsidRDefault="000148D0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0148D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العناوين المفيدة للمانحين</w:t>
            </w:r>
          </w:p>
        </w:tc>
        <w:tc>
          <w:tcPr>
            <w:tcW w:w="28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6B37169" w14:textId="63CB10FE" w:rsidR="00F261EE" w:rsidRPr="000148D0" w:rsidRDefault="000148D0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0148D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تحسين العلاقات غير الناجحة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31F6B865" w14:textId="6F1312A9" w:rsidR="00F261EE" w:rsidRPr="00957DF1" w:rsidRDefault="00957DF1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957DF1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التخطيط لاجتماع مع الجهة المانحة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D12B305" w14:textId="08EEC49D" w:rsidR="00F261EE" w:rsidRPr="00957DF1" w:rsidRDefault="00957DF1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957DF1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العمل مع السفارات</w:t>
            </w:r>
            <w:r w:rsidR="00F261EE" w:rsidRPr="00957DF1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2423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5F400D9" w14:textId="77777777" w:rsidR="00CA4DBB" w:rsidRPr="00CA4DBB" w:rsidRDefault="00CA4DBB" w:rsidP="00CA4DBB">
            <w:pPr>
              <w:ind w:right="177"/>
              <w:jc w:val="center"/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</w:pPr>
            <w:r w:rsidRPr="00CA4DBB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أعضاء مجلس الإدارة</w:t>
            </w:r>
          </w:p>
          <w:p w14:paraId="3CD15ADA" w14:textId="79531E1A" w:rsidR="00CA4DBB" w:rsidRPr="00CA4DBB" w:rsidRDefault="00CA4DBB" w:rsidP="00CA4DBB">
            <w:pPr>
              <w:ind w:right="177"/>
              <w:jc w:val="center"/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</w:pPr>
            <w:r w:rsidRPr="00CA4DBB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المد</w:t>
            </w:r>
            <w:r w:rsidRPr="00D04F89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راء</w:t>
            </w:r>
          </w:p>
          <w:p w14:paraId="46973BC1" w14:textId="506D8880" w:rsidR="00CA4DBB" w:rsidRPr="00D04F89" w:rsidRDefault="00CA4DBB" w:rsidP="00CA4DBB">
            <w:pPr>
              <w:ind w:right="177"/>
              <w:jc w:val="center"/>
              <w:rPr>
                <w:rFonts w:cstheme="minorHAnsi"/>
                <w:b/>
                <w:color w:val="92D050"/>
                <w:sz w:val="24"/>
                <w:szCs w:val="24"/>
                <w:rtl/>
                <w:lang w:bidi="ar"/>
              </w:rPr>
            </w:pPr>
            <w:r w:rsidRPr="00CA4DBB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ال</w:t>
            </w:r>
            <w:r w:rsidRPr="00D04F89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مناصرة</w:t>
            </w:r>
          </w:p>
          <w:p w14:paraId="151A7909" w14:textId="1F43E241" w:rsidR="00CA4DBB" w:rsidRPr="00CA4DBB" w:rsidRDefault="00CA4DBB" w:rsidP="00CA4DBB">
            <w:pPr>
              <w:ind w:right="177"/>
              <w:jc w:val="center"/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</w:pPr>
            <w:r w:rsidRPr="00D04F89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ال</w:t>
            </w:r>
            <w:r w:rsidR="00B30C46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شؤون المالية</w:t>
            </w:r>
          </w:p>
          <w:p w14:paraId="32DC3DCC" w14:textId="4C078695" w:rsidR="00CA4DBB" w:rsidRPr="00CA4DBB" w:rsidRDefault="00CA4DBB" w:rsidP="00CA4DBB">
            <w:pPr>
              <w:ind w:right="177"/>
              <w:jc w:val="center"/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</w:pPr>
            <w:r w:rsidRPr="00D04F89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البرامج</w:t>
            </w:r>
          </w:p>
          <w:p w14:paraId="016AAA8D" w14:textId="2003F19E" w:rsidR="00CA4DBB" w:rsidRPr="00277341" w:rsidRDefault="00CA4DBB" w:rsidP="00CA4DBB">
            <w:pPr>
              <w:ind w:right="177"/>
              <w:jc w:val="center"/>
              <w:rPr>
                <w:rFonts w:cstheme="minorHAnsi"/>
                <w:b/>
                <w:color w:val="92D050"/>
                <w:sz w:val="28"/>
                <w:szCs w:val="28"/>
              </w:rPr>
            </w:pPr>
            <w:r w:rsidRPr="00CA4DBB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ال</w:t>
            </w:r>
            <w:r w:rsidRPr="00D04F89">
              <w:rPr>
                <w:rFonts w:cstheme="minorHAnsi" w:hint="cs"/>
                <w:b/>
                <w:color w:val="92D050"/>
                <w:sz w:val="24"/>
                <w:szCs w:val="24"/>
                <w:rtl/>
                <w:lang w:bidi="ar"/>
              </w:rPr>
              <w:t>إدارة</w:t>
            </w:r>
          </w:p>
        </w:tc>
      </w:tr>
      <w:tr w:rsidR="00F261EE" w14:paraId="4558975D" w14:textId="77777777" w:rsidTr="000C7319">
        <w:trPr>
          <w:gridAfter w:val="1"/>
          <w:wAfter w:w="63" w:type="dxa"/>
          <w:trHeight w:val="2379"/>
        </w:trPr>
        <w:tc>
          <w:tcPr>
            <w:tcW w:w="26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F20C9AA" w14:textId="1E4989B3" w:rsidR="00F261EE" w:rsidRPr="005433C9" w:rsidRDefault="005433C9" w:rsidP="00DC7E07">
            <w:pPr>
              <w:jc w:val="center"/>
              <w:rPr>
                <w:rFonts w:cstheme="minorHAnsi"/>
                <w:b/>
                <w:color w:val="FFC000"/>
                <w:sz w:val="36"/>
                <w:szCs w:val="36"/>
                <w:rtl/>
              </w:rPr>
            </w:pPr>
            <w:r w:rsidRPr="005433C9">
              <w:rPr>
                <w:rFonts w:cstheme="minorHAnsi" w:hint="cs"/>
                <w:b/>
                <w:color w:val="FFC000"/>
                <w:sz w:val="36"/>
                <w:szCs w:val="36"/>
                <w:rtl/>
              </w:rPr>
              <w:t>المرحلة 4:</w:t>
            </w:r>
          </w:p>
          <w:p w14:paraId="06345D91" w14:textId="171B86F6" w:rsidR="005433C9" w:rsidRDefault="005433C9" w:rsidP="00DC7E07">
            <w:pPr>
              <w:jc w:val="center"/>
              <w:rPr>
                <w:rFonts w:cstheme="minorHAnsi"/>
                <w:b/>
                <w:color w:val="FFC000"/>
                <w:sz w:val="36"/>
                <w:szCs w:val="28"/>
                <w:rtl/>
              </w:rPr>
            </w:pPr>
            <w:r>
              <w:rPr>
                <w:rFonts w:cstheme="minorHAnsi" w:hint="cs"/>
                <w:b/>
                <w:color w:val="FFC000"/>
                <w:sz w:val="36"/>
                <w:szCs w:val="28"/>
                <w:rtl/>
              </w:rPr>
              <w:t>زيادة</w:t>
            </w:r>
          </w:p>
          <w:p w14:paraId="161548A9" w14:textId="58D1BF50" w:rsidR="005433C9" w:rsidRPr="005433C9" w:rsidRDefault="005433C9" w:rsidP="00DC7E07">
            <w:pPr>
              <w:jc w:val="center"/>
              <w:rPr>
                <w:rFonts w:cstheme="minorHAnsi"/>
                <w:b/>
                <w:color w:val="FFC000"/>
                <w:sz w:val="36"/>
                <w:szCs w:val="36"/>
              </w:rPr>
            </w:pPr>
            <w:r w:rsidRPr="005433C9">
              <w:rPr>
                <w:rFonts w:cstheme="minorHAnsi" w:hint="cs"/>
                <w:b/>
                <w:color w:val="FFC000"/>
                <w:sz w:val="36"/>
                <w:szCs w:val="36"/>
                <w:rtl/>
              </w:rPr>
              <w:t>الظهور</w:t>
            </w:r>
          </w:p>
          <w:p w14:paraId="16DD6F14" w14:textId="0A0BAA45" w:rsidR="00F261EE" w:rsidRPr="00312E80" w:rsidRDefault="00F261EE" w:rsidP="00DC7E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06F51AB9" w14:textId="7DAA5556" w:rsidR="00F261EE" w:rsidRPr="000B2001" w:rsidRDefault="000B2001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0B2001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زيادة ظهورك</w:t>
            </w:r>
          </w:p>
        </w:tc>
        <w:tc>
          <w:tcPr>
            <w:tcW w:w="26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040ECF2D" w14:textId="27B7159F" w:rsidR="00F261EE" w:rsidRPr="00957DF1" w:rsidRDefault="000B2001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957DF1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نصائح لمواد ا</w:t>
            </w:r>
            <w:r w:rsidR="00957DF1" w:rsidRPr="00957DF1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لإتصال</w:t>
            </w:r>
          </w:p>
        </w:tc>
        <w:tc>
          <w:tcPr>
            <w:tcW w:w="29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72EAC04" w14:textId="6491473B" w:rsidR="00F261EE" w:rsidRPr="00957DF1" w:rsidRDefault="00957DF1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957DF1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نموذج بيان القدرة</w:t>
            </w:r>
          </w:p>
        </w:tc>
        <w:tc>
          <w:tcPr>
            <w:tcW w:w="283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6489F7E8" w14:textId="7DEF8F73" w:rsidR="00F261EE" w:rsidRPr="00957DF1" w:rsidRDefault="00957DF1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957DF1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مثال عن بيان القدرة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BF8730C" w14:textId="26D178AA" w:rsidR="00F261EE" w:rsidRPr="007944D0" w:rsidRDefault="007944D0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944D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وسائل التواصل الإجتماعي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5625F30" w14:textId="2A89AE37" w:rsidR="00F261EE" w:rsidRPr="00957DF1" w:rsidRDefault="00957DF1" w:rsidP="00DC7E0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57DF1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إستراتيجيات الإتصال للجمعيات الأعضاء</w:t>
            </w:r>
          </w:p>
        </w:tc>
        <w:tc>
          <w:tcPr>
            <w:tcW w:w="23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47CB833" w14:textId="77777777" w:rsidR="000C7319" w:rsidRPr="000C7319" w:rsidRDefault="000C7319" w:rsidP="000C7319">
            <w:pPr>
              <w:jc w:val="center"/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</w:pPr>
            <w:r w:rsidRPr="000C7319"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  <w:t>أعضاء مجلس الإدارة</w:t>
            </w:r>
          </w:p>
          <w:p w14:paraId="1FB36042" w14:textId="608794F8" w:rsidR="000C7319" w:rsidRPr="000C7319" w:rsidRDefault="000C7319" w:rsidP="000C7319">
            <w:pPr>
              <w:jc w:val="center"/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</w:pPr>
            <w:r w:rsidRPr="000C7319"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  <w:t>المد</w:t>
            </w:r>
            <w:r w:rsidR="00F33520" w:rsidRPr="00F33520"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  <w:t>راء</w:t>
            </w:r>
          </w:p>
          <w:p w14:paraId="3F8094C0" w14:textId="77777777" w:rsidR="000C7319" w:rsidRPr="000C7319" w:rsidRDefault="000C7319" w:rsidP="000C7319">
            <w:pPr>
              <w:jc w:val="center"/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</w:pPr>
            <w:r w:rsidRPr="000C7319"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  <w:t>البرامج</w:t>
            </w:r>
          </w:p>
          <w:p w14:paraId="42D75C3F" w14:textId="080F7691" w:rsidR="000C7319" w:rsidRPr="000C7319" w:rsidRDefault="000C7319" w:rsidP="000C7319">
            <w:pPr>
              <w:jc w:val="center"/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</w:pPr>
            <w:r w:rsidRPr="000C7319"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  <w:t>فريق</w:t>
            </w:r>
            <w:r w:rsidR="00F33520" w:rsidRPr="00F33520"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  <w:t xml:space="preserve"> الإتصالات</w:t>
            </w:r>
            <w:r w:rsidRPr="000C7319"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  <w:t xml:space="preserve"> </w:t>
            </w:r>
          </w:p>
          <w:p w14:paraId="5AFAB633" w14:textId="77777777" w:rsidR="000C7319" w:rsidRPr="000C7319" w:rsidRDefault="000C7319" w:rsidP="000C7319">
            <w:pPr>
              <w:jc w:val="center"/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</w:pPr>
            <w:r w:rsidRPr="000C7319"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  <w:t>المناصرة</w:t>
            </w:r>
          </w:p>
          <w:p w14:paraId="5F2CB025" w14:textId="74B194DA" w:rsidR="000C7319" w:rsidRPr="000C7319" w:rsidRDefault="00F33520" w:rsidP="000C7319">
            <w:pPr>
              <w:jc w:val="center"/>
              <w:rPr>
                <w:rFonts w:cstheme="minorHAnsi"/>
                <w:b/>
                <w:color w:val="FFC000"/>
                <w:sz w:val="24"/>
                <w:szCs w:val="24"/>
                <w:lang w:val="en-US"/>
              </w:rPr>
            </w:pPr>
            <w:r w:rsidRPr="00F33520">
              <w:rPr>
                <w:rFonts w:cstheme="minorHAnsi" w:hint="cs"/>
                <w:b/>
                <w:color w:val="FFC000"/>
                <w:sz w:val="24"/>
                <w:szCs w:val="24"/>
                <w:rtl/>
                <w:lang w:bidi="ar"/>
              </w:rPr>
              <w:t>الإدارة</w:t>
            </w:r>
          </w:p>
          <w:p w14:paraId="49EA8762" w14:textId="41954E16" w:rsidR="000C7319" w:rsidRPr="00695119" w:rsidRDefault="000C7319" w:rsidP="00695119">
            <w:pPr>
              <w:jc w:val="center"/>
              <w:rPr>
                <w:rFonts w:cstheme="minorHAnsi"/>
                <w:b/>
                <w:color w:val="FFC000"/>
                <w:sz w:val="28"/>
                <w:szCs w:val="28"/>
              </w:rPr>
            </w:pPr>
          </w:p>
        </w:tc>
      </w:tr>
      <w:tr w:rsidR="00F261EE" w14:paraId="40DEBF94" w14:textId="77777777" w:rsidTr="000C7319">
        <w:trPr>
          <w:gridAfter w:val="1"/>
          <w:wAfter w:w="63" w:type="dxa"/>
          <w:trHeight w:val="2268"/>
        </w:trPr>
        <w:tc>
          <w:tcPr>
            <w:tcW w:w="26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BF3425E" w14:textId="19F8FEBA" w:rsidR="00F261EE" w:rsidRPr="005433C9" w:rsidRDefault="005433C9" w:rsidP="00DC7E07">
            <w:pPr>
              <w:jc w:val="center"/>
              <w:rPr>
                <w:rFonts w:cstheme="minorHAnsi"/>
                <w:b/>
                <w:color w:val="ED7D31" w:themeColor="accent2"/>
                <w:sz w:val="36"/>
                <w:szCs w:val="36"/>
              </w:rPr>
            </w:pPr>
            <w:r w:rsidRPr="005433C9">
              <w:rPr>
                <w:rFonts w:cstheme="minorHAnsi" w:hint="cs"/>
                <w:b/>
                <w:color w:val="ED7D31" w:themeColor="accent2"/>
                <w:sz w:val="36"/>
                <w:szCs w:val="36"/>
                <w:rtl/>
              </w:rPr>
              <w:t>المرحلة 3:</w:t>
            </w:r>
          </w:p>
          <w:p w14:paraId="4FB01966" w14:textId="77777777" w:rsidR="00F261EE" w:rsidRDefault="005433C9" w:rsidP="00DC7E07">
            <w:pPr>
              <w:jc w:val="center"/>
              <w:rPr>
                <w:rFonts w:cstheme="minorHAnsi"/>
                <w:b/>
                <w:color w:val="ED7D31" w:themeColor="accent2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color w:val="ED7D31" w:themeColor="accent2"/>
                <w:sz w:val="28"/>
                <w:szCs w:val="28"/>
                <w:rtl/>
              </w:rPr>
              <w:t>ضمان</w:t>
            </w:r>
          </w:p>
          <w:p w14:paraId="72B39FAD" w14:textId="4636A5CE" w:rsidR="005433C9" w:rsidRPr="005433C9" w:rsidRDefault="005433C9" w:rsidP="00DC7E0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33C9">
              <w:rPr>
                <w:rFonts w:cstheme="minorHAnsi" w:hint="cs"/>
                <w:b/>
                <w:color w:val="ED7D31" w:themeColor="accent2"/>
                <w:sz w:val="36"/>
                <w:szCs w:val="36"/>
                <w:rtl/>
              </w:rPr>
              <w:t>الملاءمة</w:t>
            </w:r>
          </w:p>
        </w:tc>
        <w:tc>
          <w:tcPr>
            <w:tcW w:w="2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0AA3A1B8" w14:textId="79E60020" w:rsidR="00F261EE" w:rsidRPr="00FF2C0A" w:rsidRDefault="00FF2C0A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FF2C0A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إكتشاف إحتياجات أصحاب المصلحة</w:t>
            </w:r>
          </w:p>
        </w:tc>
        <w:tc>
          <w:tcPr>
            <w:tcW w:w="325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427FC56B" w14:textId="0D6A8EE5" w:rsidR="00F261EE" w:rsidRPr="00D90770" w:rsidRDefault="00D90770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D9077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التكي</w:t>
            </w:r>
            <w:r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ّ</w:t>
            </w:r>
            <w:r w:rsidRPr="00D9077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ف مع إحتياجات أصحاب المصلحة</w:t>
            </w:r>
          </w:p>
        </w:tc>
        <w:tc>
          <w:tcPr>
            <w:tcW w:w="31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3AC56ED7" w14:textId="7B66BB83" w:rsidR="00F261EE" w:rsidRPr="00D90770" w:rsidRDefault="00D90770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D9077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زيادة مجالات الملاءمة</w:t>
            </w:r>
          </w:p>
        </w:tc>
        <w:tc>
          <w:tcPr>
            <w:tcW w:w="32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433A0732" w14:textId="348A3151" w:rsidR="00F261EE" w:rsidRPr="007944D0" w:rsidRDefault="00E74384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944D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وضع خارطة بالمانحين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2432E1E2" w14:textId="007C699B" w:rsidR="00F261EE" w:rsidRPr="007944D0" w:rsidRDefault="007944D0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944D0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أدوات أخرى للعثور على مانحين</w:t>
            </w:r>
          </w:p>
        </w:tc>
        <w:tc>
          <w:tcPr>
            <w:tcW w:w="23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A630C99" w14:textId="77777777" w:rsidR="00056B94" w:rsidRPr="00056B94" w:rsidRDefault="00056B94" w:rsidP="00056B94">
            <w:pPr>
              <w:jc w:val="center"/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</w:pPr>
            <w:r w:rsidRPr="00056B94"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  <w:t>أعضاء مجلس الإدارة</w:t>
            </w:r>
          </w:p>
          <w:p w14:paraId="14E7089A" w14:textId="39379AA1" w:rsidR="00056B94" w:rsidRPr="00056B94" w:rsidRDefault="00056B94" w:rsidP="00056B94">
            <w:pPr>
              <w:jc w:val="center"/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</w:pPr>
            <w:r w:rsidRPr="00056B94"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  <w:t>المد</w:t>
            </w:r>
            <w:r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  <w:t>راء</w:t>
            </w:r>
          </w:p>
          <w:p w14:paraId="7E41A634" w14:textId="3D92697B" w:rsidR="00056B94" w:rsidRDefault="00056B94" w:rsidP="00056B94">
            <w:pPr>
              <w:jc w:val="center"/>
              <w:rPr>
                <w:rFonts w:cstheme="minorHAnsi"/>
                <w:b/>
                <w:color w:val="ED7D31" w:themeColor="accent2"/>
                <w:sz w:val="24"/>
                <w:szCs w:val="24"/>
                <w:rtl/>
                <w:lang w:bidi="ar"/>
              </w:rPr>
            </w:pPr>
            <w:r w:rsidRPr="00056B94"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  <w:t>البرامج</w:t>
            </w:r>
          </w:p>
          <w:p w14:paraId="34E5576B" w14:textId="79E2D65C" w:rsidR="00056B94" w:rsidRDefault="00056B94" w:rsidP="00056B94">
            <w:pPr>
              <w:jc w:val="center"/>
              <w:rPr>
                <w:rFonts w:cstheme="minorHAnsi"/>
                <w:b/>
                <w:color w:val="ED7D31" w:themeColor="accent2"/>
                <w:sz w:val="24"/>
                <w:szCs w:val="24"/>
                <w:rtl/>
                <w:lang w:bidi="ar"/>
              </w:rPr>
            </w:pPr>
            <w:r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  <w:t>الأبحاث</w:t>
            </w:r>
          </w:p>
          <w:p w14:paraId="0E467652" w14:textId="01BAF480" w:rsidR="00056B94" w:rsidRPr="00056B94" w:rsidRDefault="00056B94" w:rsidP="00056B94">
            <w:pPr>
              <w:jc w:val="center"/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</w:pPr>
            <w:r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  <w:t>الإدارة</w:t>
            </w:r>
          </w:p>
          <w:p w14:paraId="2EDE5FA4" w14:textId="77777777" w:rsidR="00056B94" w:rsidRPr="00056B94" w:rsidRDefault="00056B94" w:rsidP="00056B94">
            <w:pPr>
              <w:jc w:val="center"/>
              <w:rPr>
                <w:rFonts w:cstheme="minorHAnsi"/>
                <w:b/>
                <w:color w:val="ED7D31" w:themeColor="accent2"/>
                <w:sz w:val="24"/>
                <w:szCs w:val="24"/>
                <w:lang w:val="en-US"/>
              </w:rPr>
            </w:pPr>
            <w:r w:rsidRPr="00056B94">
              <w:rPr>
                <w:rFonts w:cstheme="minorHAnsi" w:hint="cs"/>
                <w:b/>
                <w:color w:val="ED7D31" w:themeColor="accent2"/>
                <w:sz w:val="24"/>
                <w:szCs w:val="24"/>
                <w:rtl/>
                <w:lang w:bidi="ar"/>
              </w:rPr>
              <w:t>المناصرة</w:t>
            </w:r>
          </w:p>
          <w:p w14:paraId="4F1050F9" w14:textId="74948B49" w:rsidR="00056B94" w:rsidRPr="00695119" w:rsidRDefault="00056B94" w:rsidP="00695119">
            <w:pPr>
              <w:jc w:val="center"/>
              <w:rPr>
                <w:rFonts w:cstheme="minorHAnsi"/>
                <w:b/>
                <w:color w:val="ED7D31" w:themeColor="accent2"/>
                <w:sz w:val="28"/>
                <w:szCs w:val="28"/>
              </w:rPr>
            </w:pPr>
          </w:p>
        </w:tc>
      </w:tr>
      <w:tr w:rsidR="00F261EE" w14:paraId="6B9A68BC" w14:textId="77777777" w:rsidTr="00F261EE">
        <w:trPr>
          <w:gridAfter w:val="2"/>
          <w:wAfter w:w="297" w:type="dxa"/>
          <w:trHeight w:val="2268"/>
        </w:trPr>
        <w:tc>
          <w:tcPr>
            <w:tcW w:w="26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F4D64F2" w14:textId="52A22C9B" w:rsidR="00F261EE" w:rsidRPr="00732E67" w:rsidRDefault="00732E67" w:rsidP="00DC7E07">
            <w:pPr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732E67">
              <w:rPr>
                <w:rFonts w:cstheme="minorHAnsi" w:hint="cs"/>
                <w:b/>
                <w:color w:val="FF0000"/>
                <w:sz w:val="36"/>
                <w:szCs w:val="36"/>
                <w:rtl/>
              </w:rPr>
              <w:t>المرحلة 2:</w:t>
            </w:r>
          </w:p>
          <w:p w14:paraId="3C686AFB" w14:textId="30075835" w:rsidR="00F261EE" w:rsidRPr="00312E80" w:rsidRDefault="005433C9" w:rsidP="00DC7E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732E67">
              <w:rPr>
                <w:rFonts w:cstheme="minorHAnsi" w:hint="cs"/>
                <w:b/>
                <w:color w:val="FF0000"/>
                <w:sz w:val="28"/>
                <w:szCs w:val="28"/>
                <w:rtl/>
              </w:rPr>
              <w:t>إثبات</w:t>
            </w:r>
            <w:r>
              <w:rPr>
                <w:rFonts w:cstheme="minorHAnsi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5433C9">
              <w:rPr>
                <w:rFonts w:cstheme="minorHAnsi" w:hint="cs"/>
                <w:b/>
                <w:color w:val="FF0000"/>
                <w:sz w:val="36"/>
                <w:szCs w:val="36"/>
                <w:rtl/>
              </w:rPr>
              <w:t>المصداقية</w:t>
            </w:r>
            <w:r w:rsidR="00732E67">
              <w:rPr>
                <w:rFonts w:cstheme="minorHAnsi" w:hint="cs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289C108" w14:textId="26FC44EB" w:rsidR="00F261EE" w:rsidRPr="00E74384" w:rsidRDefault="00E74384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E74384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مدارة بشكل جيد وخاضعة للمساءلة</w:t>
            </w:r>
          </w:p>
        </w:tc>
        <w:tc>
          <w:tcPr>
            <w:tcW w:w="295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9BEF9A4" w14:textId="74D83F91" w:rsidR="00F261EE" w:rsidRPr="00E74384" w:rsidRDefault="00E74384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E74384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إستخدام الأموال بفعالية</w:t>
            </w:r>
          </w:p>
        </w:tc>
        <w:tc>
          <w:tcPr>
            <w:tcW w:w="29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E7BE916" w14:textId="213025DD" w:rsidR="00F261EE" w:rsidRPr="00E74384" w:rsidRDefault="006727BD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E74384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القيام بعمل جيد</w:t>
            </w:r>
          </w:p>
        </w:tc>
        <w:tc>
          <w:tcPr>
            <w:tcW w:w="361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2A9C909" w14:textId="171E8925" w:rsidR="00F261EE" w:rsidRPr="006727BD" w:rsidRDefault="006727BD" w:rsidP="00DC7E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6727BD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العوامل الواجب تجنبها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F3521BD" w14:textId="57D452E1" w:rsidR="00F261EE" w:rsidRPr="006727BD" w:rsidRDefault="006727BD" w:rsidP="00A82B79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6727BD">
              <w:rPr>
                <w:rFonts w:cstheme="minorHAnsi" w:hint="cs"/>
                <w:b/>
                <w:color w:val="FFFFFF" w:themeColor="background1"/>
                <w:sz w:val="36"/>
                <w:szCs w:val="36"/>
                <w:rtl/>
              </w:rPr>
              <w:t>الأنظمة والسياسات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10B821" w14:textId="77777777" w:rsidR="00D04F89" w:rsidRPr="00D04F89" w:rsidRDefault="00D04F89" w:rsidP="00D04F89">
            <w:pPr>
              <w:jc w:val="center"/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</w:pPr>
            <w:r w:rsidRPr="00D04F89"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  <w:t>أعضاء مجلس الإدارة</w:t>
            </w:r>
          </w:p>
          <w:p w14:paraId="39749C56" w14:textId="2C9757DB" w:rsidR="00D04F89" w:rsidRPr="00D04F89" w:rsidRDefault="00D04F89" w:rsidP="00D04F89">
            <w:pPr>
              <w:jc w:val="center"/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</w:pPr>
            <w:r w:rsidRPr="00D04F89"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  <w:t>المد</w:t>
            </w:r>
            <w:r w:rsidR="00E84FAB"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  <w:t>راء</w:t>
            </w:r>
          </w:p>
          <w:p w14:paraId="499E5A9F" w14:textId="77777777" w:rsidR="00D04F89" w:rsidRPr="00D04F89" w:rsidRDefault="00D04F89" w:rsidP="00D04F89">
            <w:pPr>
              <w:jc w:val="center"/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</w:pPr>
            <w:r w:rsidRPr="00D04F89"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  <w:t>البرامج</w:t>
            </w:r>
          </w:p>
          <w:p w14:paraId="5B075542" w14:textId="70A00BA3" w:rsidR="00D04F89" w:rsidRPr="00D04F89" w:rsidRDefault="00E84FAB" w:rsidP="00D04F89">
            <w:pPr>
              <w:jc w:val="center"/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</w:pPr>
            <w:r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  <w:t xml:space="preserve">الشؤون </w:t>
            </w:r>
            <w:r w:rsidR="00D04F89" w:rsidRPr="00D04F89"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  <w:t>المالية</w:t>
            </w:r>
          </w:p>
          <w:p w14:paraId="435EBA77" w14:textId="71B7526B" w:rsidR="00D04F89" w:rsidRPr="00D04F89" w:rsidRDefault="00E84FAB" w:rsidP="00D04F89">
            <w:pPr>
              <w:jc w:val="center"/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</w:pPr>
            <w:r>
              <w:rPr>
                <w:rFonts w:cstheme="minorHAnsi" w:hint="cs"/>
                <w:b/>
                <w:color w:val="FF0000"/>
                <w:sz w:val="24"/>
                <w:szCs w:val="24"/>
                <w:rtl/>
                <w:lang w:bidi="ar"/>
              </w:rPr>
              <w:t>تأكيد العضوية</w:t>
            </w:r>
          </w:p>
          <w:p w14:paraId="545C14E5" w14:textId="1B92F3DD" w:rsidR="00D04F89" w:rsidRPr="0080740D" w:rsidRDefault="00735226" w:rsidP="001F37C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 w:hint="cs"/>
                <w:b/>
                <w:color w:val="FF0000"/>
                <w:sz w:val="24"/>
                <w:szCs w:val="24"/>
                <w:rtl/>
                <w:lang w:val="en-US"/>
              </w:rPr>
              <w:t>الرصد والتقييم، الموارد البشرية</w:t>
            </w:r>
          </w:p>
        </w:tc>
      </w:tr>
      <w:tr w:rsidR="00F261EE" w14:paraId="0F000433" w14:textId="77777777" w:rsidTr="00F261EE">
        <w:trPr>
          <w:gridAfter w:val="2"/>
          <w:wAfter w:w="297" w:type="dxa"/>
          <w:trHeight w:val="2268"/>
        </w:trPr>
        <w:tc>
          <w:tcPr>
            <w:tcW w:w="26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3DDAD7E" w14:textId="43FA3E88" w:rsidR="00F261EE" w:rsidRPr="00732E67" w:rsidRDefault="00732E67" w:rsidP="00732E67">
            <w:pPr>
              <w:jc w:val="center"/>
              <w:rPr>
                <w:rFonts w:cstheme="minorHAnsi" w:hint="cs"/>
                <w:b/>
                <w:color w:val="C00000"/>
                <w:sz w:val="36"/>
                <w:szCs w:val="36"/>
                <w:rtl/>
                <w:lang w:bidi="ar-LB"/>
              </w:rPr>
            </w:pPr>
            <w:r w:rsidRPr="00732E67">
              <w:rPr>
                <w:rFonts w:cstheme="minorHAnsi" w:hint="cs"/>
                <w:b/>
                <w:color w:val="C00000"/>
                <w:sz w:val="36"/>
                <w:szCs w:val="36"/>
                <w:rtl/>
                <w:lang w:bidi="ar-LB"/>
              </w:rPr>
              <w:t>المرحلة 1:</w:t>
            </w:r>
          </w:p>
          <w:p w14:paraId="44E08FCD" w14:textId="1337B633" w:rsidR="00F261EE" w:rsidRPr="00732E67" w:rsidRDefault="00732E67" w:rsidP="00DC7E07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 w:rsidRPr="00732E67">
              <w:rPr>
                <w:rFonts w:cstheme="minorHAnsi" w:hint="cs"/>
                <w:b/>
                <w:color w:val="C00000"/>
                <w:sz w:val="36"/>
                <w:szCs w:val="36"/>
                <w:rtl/>
              </w:rPr>
              <w:t>بناء القدرات</w:t>
            </w:r>
          </w:p>
          <w:p w14:paraId="1DB0E272" w14:textId="5AAEAA39" w:rsidR="00F261EE" w:rsidRPr="00312E80" w:rsidRDefault="00732E67" w:rsidP="00DC7E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 w:hint="cs"/>
                <w:b/>
                <w:color w:val="C00000"/>
                <w:sz w:val="28"/>
                <w:szCs w:val="28"/>
                <w:rtl/>
              </w:rPr>
              <w:t>لحشد الموارد</w:t>
            </w:r>
          </w:p>
        </w:tc>
        <w:tc>
          <w:tcPr>
            <w:tcW w:w="2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25EBE37E" w14:textId="10A1FF84" w:rsidR="00F261EE" w:rsidRPr="009B21E4" w:rsidRDefault="009B21E4" w:rsidP="00DC7E07">
            <w:pPr>
              <w:jc w:val="center"/>
              <w:rPr>
                <w:rFonts w:cstheme="minorHAnsi" w:hint="cs"/>
                <w:b/>
                <w:sz w:val="36"/>
                <w:szCs w:val="36"/>
                <w:rtl/>
                <w:lang w:bidi="ar-LB"/>
              </w:rPr>
            </w:pPr>
            <w:r w:rsidRPr="009B21E4">
              <w:rPr>
                <w:rFonts w:cstheme="minorHAnsi" w:hint="cs"/>
                <w:b/>
                <w:sz w:val="36"/>
                <w:szCs w:val="36"/>
                <w:rtl/>
                <w:lang w:bidi="ar-LB"/>
              </w:rPr>
              <w:t>بيئة التمويل</w:t>
            </w:r>
          </w:p>
        </w:tc>
        <w:tc>
          <w:tcPr>
            <w:tcW w:w="25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65831577" w14:textId="687E0E8F" w:rsidR="00F261EE" w:rsidRPr="009B21E4" w:rsidRDefault="009B21E4" w:rsidP="00DC7E0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B21E4">
              <w:rPr>
                <w:rFonts w:cstheme="minorHAnsi" w:hint="cs"/>
                <w:b/>
                <w:sz w:val="36"/>
                <w:szCs w:val="36"/>
                <w:rtl/>
              </w:rPr>
              <w:t>تقييم الإحتياجات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70DB5503" w14:textId="24CFED87" w:rsidR="00F261EE" w:rsidRPr="009B21E4" w:rsidRDefault="009B21E4" w:rsidP="00DC7E0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B21E4">
              <w:rPr>
                <w:rFonts w:cstheme="minorHAnsi" w:hint="cs"/>
                <w:b/>
                <w:sz w:val="36"/>
                <w:szCs w:val="36"/>
                <w:rtl/>
              </w:rPr>
              <w:t>تحليل المنافسين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29594BAD" w14:textId="0AA68878" w:rsidR="00F261EE" w:rsidRPr="000B2001" w:rsidRDefault="009B21E4" w:rsidP="00DC7E07">
            <w:pPr>
              <w:jc w:val="center"/>
              <w:rPr>
                <w:rFonts w:cstheme="minorHAnsi" w:hint="cs"/>
                <w:b/>
                <w:sz w:val="36"/>
                <w:szCs w:val="36"/>
                <w:rtl/>
                <w:lang w:val="en-US" w:bidi="ar-LB"/>
              </w:rPr>
            </w:pPr>
            <w:r w:rsidRPr="009B21E4">
              <w:rPr>
                <w:rFonts w:cstheme="minorHAnsi" w:hint="cs"/>
                <w:b/>
                <w:sz w:val="36"/>
                <w:szCs w:val="36"/>
                <w:rtl/>
              </w:rPr>
              <w:t>تحليل سوات</w:t>
            </w:r>
            <w:r w:rsidR="000B2001">
              <w:rPr>
                <w:rFonts w:cstheme="minorHAnsi" w:hint="cs"/>
                <w:b/>
                <w:sz w:val="36"/>
                <w:szCs w:val="36"/>
                <w:rtl/>
              </w:rPr>
              <w:t xml:space="preserve"> </w:t>
            </w:r>
            <w:r w:rsidR="000B2001">
              <w:rPr>
                <w:rFonts w:cstheme="minorHAnsi"/>
                <w:b/>
                <w:sz w:val="36"/>
                <w:szCs w:val="36"/>
                <w:lang w:val="en-US"/>
              </w:rPr>
              <w:t>SWOT</w:t>
            </w:r>
          </w:p>
        </w:tc>
        <w:tc>
          <w:tcPr>
            <w:tcW w:w="297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61B901CA" w14:textId="2360C8F5" w:rsidR="00F261EE" w:rsidRPr="006727BD" w:rsidRDefault="006727BD" w:rsidP="00DC7E0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727BD">
              <w:rPr>
                <w:rFonts w:cstheme="minorHAnsi" w:hint="cs"/>
                <w:b/>
                <w:sz w:val="36"/>
                <w:szCs w:val="36"/>
                <w:rtl/>
              </w:rPr>
              <w:t>إ</w:t>
            </w:r>
            <w:r w:rsidR="009B21E4" w:rsidRPr="006727BD">
              <w:rPr>
                <w:rFonts w:cstheme="minorHAnsi" w:hint="cs"/>
                <w:b/>
                <w:sz w:val="36"/>
                <w:szCs w:val="36"/>
                <w:rtl/>
              </w:rPr>
              <w:t>ستراتيجية سكريتاريا الإتحاد</w:t>
            </w:r>
            <w:r>
              <w:rPr>
                <w:rFonts w:cstheme="minorHAnsi" w:hint="cs"/>
                <w:b/>
                <w:sz w:val="36"/>
                <w:szCs w:val="36"/>
                <w:rtl/>
              </w:rPr>
              <w:t xml:space="preserve"> الدولي لتنظيم الأسرة</w:t>
            </w:r>
            <w:r w:rsidR="009B21E4" w:rsidRPr="006727BD">
              <w:rPr>
                <w:rFonts w:cstheme="minorHAnsi" w:hint="cs"/>
                <w:b/>
                <w:sz w:val="36"/>
                <w:szCs w:val="36"/>
                <w:rtl/>
              </w:rPr>
              <w:t xml:space="preserve"> لحش</w:t>
            </w:r>
            <w:r w:rsidRPr="006727BD">
              <w:rPr>
                <w:rFonts w:cstheme="minorHAnsi" w:hint="cs"/>
                <w:b/>
                <w:sz w:val="36"/>
                <w:szCs w:val="36"/>
                <w:rtl/>
              </w:rPr>
              <w:t>د الموارد</w:t>
            </w:r>
          </w:p>
        </w:tc>
        <w:tc>
          <w:tcPr>
            <w:tcW w:w="36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11868956" w14:textId="58AEF6C2" w:rsidR="00F261EE" w:rsidRPr="006727BD" w:rsidRDefault="006727BD" w:rsidP="00DC7E0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727BD">
              <w:rPr>
                <w:rFonts w:cstheme="minorHAnsi" w:hint="cs"/>
                <w:b/>
                <w:sz w:val="36"/>
                <w:szCs w:val="36"/>
                <w:rtl/>
              </w:rPr>
              <w:t>غرفة الموارد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51120AC" w14:textId="77777777" w:rsidR="000E11DC" w:rsidRPr="000E11DC" w:rsidRDefault="000E11DC" w:rsidP="000E11DC">
            <w:pPr>
              <w:jc w:val="center"/>
              <w:rPr>
                <w:rFonts w:cstheme="minorHAnsi" w:hint="cs"/>
                <w:b/>
                <w:color w:val="C00000"/>
                <w:sz w:val="24"/>
                <w:szCs w:val="24"/>
                <w:rtl/>
                <w:lang w:bidi="ar"/>
              </w:rPr>
            </w:pPr>
            <w:r w:rsidRPr="000E11DC">
              <w:rPr>
                <w:rFonts w:cstheme="minorHAnsi" w:hint="cs"/>
                <w:b/>
                <w:color w:val="C00000"/>
                <w:sz w:val="24"/>
                <w:szCs w:val="24"/>
                <w:rtl/>
                <w:lang w:bidi="ar"/>
              </w:rPr>
              <w:t>أعضاء مجلس الإدارة</w:t>
            </w:r>
          </w:p>
          <w:p w14:paraId="7D1F0833" w14:textId="77777777" w:rsidR="000E11DC" w:rsidRPr="000E11DC" w:rsidRDefault="000E11DC" w:rsidP="000E11DC">
            <w:pPr>
              <w:jc w:val="center"/>
              <w:rPr>
                <w:rFonts w:cstheme="minorHAnsi" w:hint="cs"/>
                <w:b/>
                <w:color w:val="C00000"/>
                <w:sz w:val="24"/>
                <w:szCs w:val="24"/>
                <w:rtl/>
                <w:lang w:bidi="ar"/>
              </w:rPr>
            </w:pPr>
            <w:r w:rsidRPr="000E11DC">
              <w:rPr>
                <w:rFonts w:cstheme="minorHAnsi" w:hint="cs"/>
                <w:b/>
                <w:color w:val="C00000"/>
                <w:sz w:val="24"/>
                <w:szCs w:val="24"/>
                <w:rtl/>
                <w:lang w:bidi="ar"/>
              </w:rPr>
              <w:t>المدراء</w:t>
            </w:r>
          </w:p>
          <w:p w14:paraId="2A8A82B1" w14:textId="220C0533" w:rsidR="000E11DC" w:rsidRDefault="000E11DC" w:rsidP="000E11DC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rtl/>
                <w:lang w:bidi="ar"/>
              </w:rPr>
            </w:pPr>
            <w:r w:rsidRPr="000E11DC">
              <w:rPr>
                <w:rFonts w:cstheme="minorHAnsi" w:hint="cs"/>
                <w:b/>
                <w:color w:val="C00000"/>
                <w:sz w:val="24"/>
                <w:szCs w:val="24"/>
                <w:rtl/>
                <w:lang w:bidi="ar"/>
              </w:rPr>
              <w:t>البرامج</w:t>
            </w:r>
          </w:p>
          <w:p w14:paraId="423043E7" w14:textId="71A3381A" w:rsidR="000E11DC" w:rsidRDefault="000E11DC" w:rsidP="000E11DC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rtl/>
                <w:lang w:bidi="ar"/>
              </w:rPr>
            </w:pPr>
            <w:r>
              <w:rPr>
                <w:rFonts w:cstheme="minorHAnsi" w:hint="cs"/>
                <w:b/>
                <w:color w:val="C00000"/>
                <w:sz w:val="24"/>
                <w:szCs w:val="24"/>
                <w:rtl/>
                <w:lang w:bidi="ar"/>
              </w:rPr>
              <w:t>الشؤون المالية</w:t>
            </w:r>
          </w:p>
          <w:p w14:paraId="1DAC38EE" w14:textId="3E1DFFCC" w:rsidR="004D6495" w:rsidRDefault="004D6495" w:rsidP="000E11DC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rtl/>
                <w:lang w:bidi="ar"/>
              </w:rPr>
            </w:pPr>
            <w:r>
              <w:rPr>
                <w:rFonts w:cstheme="minorHAnsi" w:hint="cs"/>
                <w:b/>
                <w:color w:val="C00000"/>
                <w:sz w:val="24"/>
                <w:szCs w:val="24"/>
                <w:rtl/>
                <w:lang w:bidi="ar"/>
              </w:rPr>
              <w:t>الموارد البشرية، تكنولوجيا المعلومات،</w:t>
            </w:r>
          </w:p>
          <w:p w14:paraId="329C2747" w14:textId="6FA229B1" w:rsidR="000E11DC" w:rsidRPr="0080740D" w:rsidRDefault="001F37C8" w:rsidP="001F37C8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 w:hint="cs"/>
                <w:b/>
                <w:color w:val="C00000"/>
                <w:sz w:val="24"/>
                <w:szCs w:val="24"/>
                <w:rtl/>
                <w:lang w:bidi="ar"/>
              </w:rPr>
              <w:t>الرصد والتقييم</w:t>
            </w:r>
          </w:p>
          <w:p w14:paraId="714F71BF" w14:textId="46148083" w:rsidR="00F261EE" w:rsidRPr="0080740D" w:rsidRDefault="001F37C8" w:rsidP="00DC7E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b/>
                <w:color w:val="C00000"/>
                <w:sz w:val="24"/>
                <w:szCs w:val="24"/>
                <w:rtl/>
              </w:rPr>
              <w:t>العاملون والعاملات في العيادات</w:t>
            </w:r>
          </w:p>
        </w:tc>
      </w:tr>
    </w:tbl>
    <w:p w14:paraId="1C859C17" w14:textId="77777777" w:rsidR="00F07A19" w:rsidRDefault="00F07A19" w:rsidP="007B263F"/>
    <w:sectPr w:rsidR="00F07A19" w:rsidSect="005D0A17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C8"/>
    <w:rsid w:val="00004533"/>
    <w:rsid w:val="000148D0"/>
    <w:rsid w:val="00021C59"/>
    <w:rsid w:val="000525C5"/>
    <w:rsid w:val="00056B94"/>
    <w:rsid w:val="00074E48"/>
    <w:rsid w:val="00077570"/>
    <w:rsid w:val="00095792"/>
    <w:rsid w:val="000961B2"/>
    <w:rsid w:val="000A2704"/>
    <w:rsid w:val="000A57E0"/>
    <w:rsid w:val="000B2001"/>
    <w:rsid w:val="000B3B8A"/>
    <w:rsid w:val="000B5D44"/>
    <w:rsid w:val="000C58A0"/>
    <w:rsid w:val="000C7319"/>
    <w:rsid w:val="000E11DC"/>
    <w:rsid w:val="0011729E"/>
    <w:rsid w:val="00150D64"/>
    <w:rsid w:val="00162CBB"/>
    <w:rsid w:val="001643FD"/>
    <w:rsid w:val="00184190"/>
    <w:rsid w:val="00186FB3"/>
    <w:rsid w:val="001A421C"/>
    <w:rsid w:val="001C469D"/>
    <w:rsid w:val="001D51C4"/>
    <w:rsid w:val="001F16A6"/>
    <w:rsid w:val="001F37C8"/>
    <w:rsid w:val="00232AF4"/>
    <w:rsid w:val="00234C7A"/>
    <w:rsid w:val="00252EFC"/>
    <w:rsid w:val="00275207"/>
    <w:rsid w:val="00277341"/>
    <w:rsid w:val="00296244"/>
    <w:rsid w:val="002A3DDC"/>
    <w:rsid w:val="002A6EA7"/>
    <w:rsid w:val="002A7D53"/>
    <w:rsid w:val="002B448C"/>
    <w:rsid w:val="002E0850"/>
    <w:rsid w:val="003022C8"/>
    <w:rsid w:val="00312BE4"/>
    <w:rsid w:val="00312E80"/>
    <w:rsid w:val="0031544B"/>
    <w:rsid w:val="003460C0"/>
    <w:rsid w:val="00362D71"/>
    <w:rsid w:val="00366441"/>
    <w:rsid w:val="0037588D"/>
    <w:rsid w:val="003C1EC4"/>
    <w:rsid w:val="003C219E"/>
    <w:rsid w:val="003C779C"/>
    <w:rsid w:val="003F3BF5"/>
    <w:rsid w:val="003F70AF"/>
    <w:rsid w:val="004005F0"/>
    <w:rsid w:val="004052C7"/>
    <w:rsid w:val="00405F9E"/>
    <w:rsid w:val="00417274"/>
    <w:rsid w:val="00443056"/>
    <w:rsid w:val="00475C48"/>
    <w:rsid w:val="004B20DB"/>
    <w:rsid w:val="004D195B"/>
    <w:rsid w:val="004D48B6"/>
    <w:rsid w:val="004D4FE7"/>
    <w:rsid w:val="004D6495"/>
    <w:rsid w:val="004E3E36"/>
    <w:rsid w:val="00507A2C"/>
    <w:rsid w:val="00525022"/>
    <w:rsid w:val="005433C9"/>
    <w:rsid w:val="0059763B"/>
    <w:rsid w:val="005A49CA"/>
    <w:rsid w:val="005A743B"/>
    <w:rsid w:val="005D0A17"/>
    <w:rsid w:val="005D5DD8"/>
    <w:rsid w:val="005D7BCB"/>
    <w:rsid w:val="005E1FD8"/>
    <w:rsid w:val="005F245D"/>
    <w:rsid w:val="00602904"/>
    <w:rsid w:val="00603BE0"/>
    <w:rsid w:val="006212D7"/>
    <w:rsid w:val="00655962"/>
    <w:rsid w:val="00655DF0"/>
    <w:rsid w:val="00661068"/>
    <w:rsid w:val="00662F41"/>
    <w:rsid w:val="006636B0"/>
    <w:rsid w:val="00670571"/>
    <w:rsid w:val="006727BD"/>
    <w:rsid w:val="00683048"/>
    <w:rsid w:val="006865F6"/>
    <w:rsid w:val="00695119"/>
    <w:rsid w:val="006C035B"/>
    <w:rsid w:val="006C61CD"/>
    <w:rsid w:val="006E110B"/>
    <w:rsid w:val="00711EF7"/>
    <w:rsid w:val="00732E67"/>
    <w:rsid w:val="00735226"/>
    <w:rsid w:val="007433D5"/>
    <w:rsid w:val="00750927"/>
    <w:rsid w:val="007662D1"/>
    <w:rsid w:val="00792116"/>
    <w:rsid w:val="007944D0"/>
    <w:rsid w:val="007B263F"/>
    <w:rsid w:val="007B663F"/>
    <w:rsid w:val="007D3C22"/>
    <w:rsid w:val="007D64B6"/>
    <w:rsid w:val="007F0545"/>
    <w:rsid w:val="0080740D"/>
    <w:rsid w:val="0083163B"/>
    <w:rsid w:val="00842AC0"/>
    <w:rsid w:val="00852C63"/>
    <w:rsid w:val="00855AB5"/>
    <w:rsid w:val="00887015"/>
    <w:rsid w:val="008912D6"/>
    <w:rsid w:val="008966D7"/>
    <w:rsid w:val="008A1807"/>
    <w:rsid w:val="008C11F0"/>
    <w:rsid w:val="008C60BC"/>
    <w:rsid w:val="008D5F02"/>
    <w:rsid w:val="0091134C"/>
    <w:rsid w:val="009239BE"/>
    <w:rsid w:val="00945B6C"/>
    <w:rsid w:val="00947138"/>
    <w:rsid w:val="00957DF1"/>
    <w:rsid w:val="00964A28"/>
    <w:rsid w:val="00980C49"/>
    <w:rsid w:val="00991844"/>
    <w:rsid w:val="009937EA"/>
    <w:rsid w:val="009A2957"/>
    <w:rsid w:val="009B21E4"/>
    <w:rsid w:val="009E0FF2"/>
    <w:rsid w:val="009E7655"/>
    <w:rsid w:val="00A13953"/>
    <w:rsid w:val="00A36BCD"/>
    <w:rsid w:val="00A47178"/>
    <w:rsid w:val="00A5043C"/>
    <w:rsid w:val="00A81E61"/>
    <w:rsid w:val="00A82B79"/>
    <w:rsid w:val="00A9014D"/>
    <w:rsid w:val="00AB556A"/>
    <w:rsid w:val="00AD767E"/>
    <w:rsid w:val="00B0246B"/>
    <w:rsid w:val="00B1223D"/>
    <w:rsid w:val="00B30C46"/>
    <w:rsid w:val="00B46AA5"/>
    <w:rsid w:val="00B502FB"/>
    <w:rsid w:val="00B5108B"/>
    <w:rsid w:val="00B76945"/>
    <w:rsid w:val="00B76C6F"/>
    <w:rsid w:val="00B90AF8"/>
    <w:rsid w:val="00B9765C"/>
    <w:rsid w:val="00BA07A1"/>
    <w:rsid w:val="00BA2249"/>
    <w:rsid w:val="00BB6E4D"/>
    <w:rsid w:val="00BD2DD5"/>
    <w:rsid w:val="00BE0CCD"/>
    <w:rsid w:val="00C7177E"/>
    <w:rsid w:val="00C92F6F"/>
    <w:rsid w:val="00CA22C3"/>
    <w:rsid w:val="00CA4DBB"/>
    <w:rsid w:val="00CA7353"/>
    <w:rsid w:val="00CC292C"/>
    <w:rsid w:val="00CD6EC6"/>
    <w:rsid w:val="00CE0C61"/>
    <w:rsid w:val="00CF2837"/>
    <w:rsid w:val="00D04F89"/>
    <w:rsid w:val="00D1303B"/>
    <w:rsid w:val="00D318C2"/>
    <w:rsid w:val="00D4222A"/>
    <w:rsid w:val="00D60BFF"/>
    <w:rsid w:val="00D90770"/>
    <w:rsid w:val="00D91014"/>
    <w:rsid w:val="00DC0434"/>
    <w:rsid w:val="00DC6DA6"/>
    <w:rsid w:val="00DC7E07"/>
    <w:rsid w:val="00DD4941"/>
    <w:rsid w:val="00DE3B98"/>
    <w:rsid w:val="00E16AD5"/>
    <w:rsid w:val="00E24F54"/>
    <w:rsid w:val="00E74384"/>
    <w:rsid w:val="00E84FAB"/>
    <w:rsid w:val="00EA477D"/>
    <w:rsid w:val="00ED1D79"/>
    <w:rsid w:val="00ED79E3"/>
    <w:rsid w:val="00F07A19"/>
    <w:rsid w:val="00F104A3"/>
    <w:rsid w:val="00F25A6C"/>
    <w:rsid w:val="00F261EE"/>
    <w:rsid w:val="00F33520"/>
    <w:rsid w:val="00F37734"/>
    <w:rsid w:val="00F64400"/>
    <w:rsid w:val="00F70CF5"/>
    <w:rsid w:val="00FB0B99"/>
    <w:rsid w:val="00FE4E54"/>
    <w:rsid w:val="00FF2976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5606"/>
  <w15:chartTrackingRefBased/>
  <w15:docId w15:val="{87833A21-88CD-4232-BE7F-E9D050AF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C8"/>
    <w:rPr>
      <w:rFonts w:ascii="Segoe UI" w:hAnsi="Segoe UI" w:cs="Segoe UI"/>
      <w:sz w:val="18"/>
      <w:szCs w:val="18"/>
      <w:lang w:val="en-GB"/>
    </w:rPr>
  </w:style>
  <w:style w:type="paragraph" w:customStyle="1" w:styleId="ms-rteelement-p">
    <w:name w:val="ms-rteelement-p"/>
    <w:basedOn w:val="Normal"/>
    <w:rsid w:val="003C219E"/>
    <w:pPr>
      <w:spacing w:after="0" w:line="285" w:lineRule="atLeast"/>
    </w:pPr>
    <w:rPr>
      <w:rFonts w:ascii="Times New Roman" w:eastAsia="Times New Roman" w:hAnsi="Times New Roman" w:cs="Times New Roman"/>
      <w:color w:val="808080"/>
      <w:sz w:val="21"/>
      <w:szCs w:val="21"/>
      <w:lang w:eastAsia="en-GB"/>
    </w:rPr>
  </w:style>
  <w:style w:type="character" w:styleId="Strong">
    <w:name w:val="Strong"/>
    <w:basedOn w:val="DefaultParagraphFont"/>
    <w:uiPriority w:val="22"/>
    <w:qFormat/>
    <w:rsid w:val="003C219E"/>
    <w:rPr>
      <w:b/>
      <w:bCs/>
    </w:rPr>
  </w:style>
  <w:style w:type="table" w:styleId="TableGrid">
    <w:name w:val="Table Grid"/>
    <w:basedOn w:val="TableNormal"/>
    <w:uiPriority w:val="39"/>
    <w:rsid w:val="00F0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1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0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03824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9bd41cc-021d-46bc-9033-b22ce42fed58"/>
    <Region_x002f_Country xmlns="d9bd41cc-021d-46bc-9033-b22ce42fed58"/>
    <Donor1 xmlns="d9bd41cc-021d-46bc-9033-b22ce42fed58"/>
    <IPPF_x0020_Office xmlns="d9bd41cc-021d-46bc-9033-b22ce42fed58"/>
    <_ip_UnifiedCompliancePolicyUIAction xmlns="http://schemas.microsoft.com/sharepoint/v3" xsi:nil="true"/>
    <_ip_UnifiedCompliancePolicyProperties xmlns="http://schemas.microsoft.com/sharepoint/v3" xsi:nil="true"/>
    <_dlc_DocId xmlns="cd58f56f-97bb-4ee3-be73-39c4c446a25c">COID-1574572667-932</_dlc_DocId>
    <_dlc_DocIdUrl xmlns="cd58f56f-97bb-4ee3-be73-39c4c446a25c">
      <Url>https://ippfglobal.sharepoint.com/sites/Connect-CO/ER/RM/_layouts/15/DocIdRedir.aspx?ID=COID-1574572667-932</Url>
      <Description>COID-1574572667-932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03E0C151F924FA83B19054363992E" ma:contentTypeVersion="25" ma:contentTypeDescription="Create a new document." ma:contentTypeScope="" ma:versionID="d33f277e3df39e278d4f85fd9cb42d21">
  <xsd:schema xmlns:xsd="http://www.w3.org/2001/XMLSchema" xmlns:xs="http://www.w3.org/2001/XMLSchema" xmlns:p="http://schemas.microsoft.com/office/2006/metadata/properties" xmlns:ns1="http://schemas.microsoft.com/sharepoint/v3" xmlns:ns2="d9bd41cc-021d-46bc-9033-b22ce42fed58" xmlns:ns3="184c6296-04f2-4b59-a884-7fa598fd8790" xmlns:ns4="55fa9f76-461d-438b-a458-76b921724d9e" xmlns:ns5="cd58f56f-97bb-4ee3-be73-39c4c446a25c" targetNamespace="http://schemas.microsoft.com/office/2006/metadata/properties" ma:root="true" ma:fieldsID="3d7bc277f8aa2e6b9c125a0f9f823465" ns1:_="" ns2:_="" ns3:_="" ns4:_="" ns5:_="">
    <xsd:import namespace="http://schemas.microsoft.com/sharepoint/v3"/>
    <xsd:import namespace="d9bd41cc-021d-46bc-9033-b22ce42fed58"/>
    <xsd:import namespace="184c6296-04f2-4b59-a884-7fa598fd8790"/>
    <xsd:import namespace="55fa9f76-461d-438b-a458-76b921724d9e"/>
    <xsd:import namespace="cd58f56f-97bb-4ee3-be73-39c4c446a25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IPPF_x0020_Office" minOccurs="0"/>
                <xsd:element ref="ns2:Donor1" minOccurs="0"/>
                <xsd:element ref="ns2:Region_x002f_Country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41cc-021d-46bc-9033-b22ce42fed5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ther"/>
                    <xsd:enumeration value="Budget"/>
                    <xsd:enumeration value="Briefing note"/>
                    <xsd:enumeration value="Case study"/>
                    <xsd:enumeration value="Concept note"/>
                    <xsd:enumeration value="Consultancy agreement"/>
                    <xsd:enumeration value="Contract"/>
                    <xsd:enumeration value="CV"/>
                    <xsd:enumeration value="Decision Brief"/>
                    <xsd:enumeration value="Donor format/template/guidelines"/>
                    <xsd:enumeration value="Evaluation"/>
                    <xsd:enumeration value="Financial Proposal"/>
                    <xsd:enumeration value="Invoice"/>
                    <xsd:enumeration value="IPPF format/template/guidelines"/>
                    <xsd:enumeration value="Letter/email"/>
                    <xsd:enumeration value="Minute"/>
                    <xsd:enumeration value="MoU"/>
                    <xsd:enumeration value="Newsletter"/>
                    <xsd:enumeration value="Payment requisition"/>
                    <xsd:enumeration value="Picture"/>
                    <xsd:enumeration value="Policy"/>
                    <xsd:enumeration value="Presentation"/>
                    <xsd:enumeration value="Press release"/>
                    <xsd:enumeration value="Proposal"/>
                    <xsd:enumeration value="Publication"/>
                    <xsd:enumeration value="Report"/>
                    <xsd:enumeration value="Report (final)"/>
                    <xsd:enumeration value="Speech"/>
                    <xsd:enumeration value="Strategy"/>
                    <xsd:enumeration value="Training materials"/>
                  </xsd:restriction>
                </xsd:simpleType>
              </xsd:element>
            </xsd:sequence>
          </xsd:extension>
        </xsd:complexContent>
      </xsd:complexType>
    </xsd:element>
    <xsd:element name="IPPF_x0020_Office" ma:index="5" nillable="true" ma:displayName="IPPF Office" ma:internalName="IPPF_x0020_Offi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O"/>
                    <xsd:enumeration value="AWRO"/>
                    <xsd:enumeration value="CO"/>
                    <xsd:enumeration value="EN"/>
                    <xsd:enumeration value="ESEAOR"/>
                    <xsd:enumeration value="Inter regional"/>
                    <xsd:enumeration value="SARO"/>
                    <xsd:enumeration value="WHR"/>
                  </xsd:restriction>
                </xsd:simpleType>
              </xsd:element>
            </xsd:sequence>
          </xsd:extension>
        </xsd:complexContent>
      </xsd:complexType>
    </xsd:element>
    <xsd:element name="Donor1" ma:index="6" nillable="true" ma:displayName="Year" ma:internalName="Donor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</xsd:restriction>
                </xsd:simpleType>
              </xsd:element>
            </xsd:sequence>
          </xsd:extension>
        </xsd:complexContent>
      </xsd:complexType>
    </xsd:element>
    <xsd:element name="Region_x002f_Country" ma:index="7" nillable="true" ma:displayName="Region/Country" ma:internalName="Region_x002F_Count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"/>
                    <xsd:enumeration value="Africa (sub-Saharan)"/>
                    <xsd:enumeration value="Arab World"/>
                    <xsd:enumeration value="Australia/NZ"/>
                    <xsd:enumeration value="Central Asia"/>
                    <xsd:enumeration value="East Asia"/>
                    <xsd:enumeration value="Europe"/>
                    <xsd:enumeration value="Latin America/Caribbean"/>
                    <xsd:enumeration value="North America"/>
                    <xsd:enumeration value="Pacific"/>
                    <xsd:enumeration value="South Asia"/>
                    <xsd:enumeration value="Southeast Asia"/>
                    <xsd:enumeration value="Afghanistan"/>
                    <xsd:enumeration value="Albania"/>
                    <xsd:enumeration value="Algeria"/>
                    <xsd:enumeration value="American Samoa"/>
                    <xsd:enumeration value="Andorra"/>
                    <xsd:enumeration value="Angola"/>
                    <xsd:enumeration value="Anguilla"/>
                    <xsd:enumeration value="Antigua &amp; Barbuda"/>
                    <xsd:enumeration value="Argentina"/>
                    <xsd:enumeration value="Armenia"/>
                    <xsd:enumeration value="Aruba"/>
                    <xsd:enumeration value="Australia"/>
                    <xsd:enumeration value="Austria"/>
                    <xsd:enumeration value="Azerbaijan"/>
                    <xsd:enumeration value="Bahamas, The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ermuda"/>
                    <xsd:enumeration value="Bhutan"/>
                    <xsd:enumeration value="Bolivia"/>
                    <xsd:enumeration value="Bosnia &amp; Herzegovina"/>
                    <xsd:enumeration value="Botswana"/>
                    <xsd:enumeration value="Brazil"/>
                    <xsd:enumeration value="British Virgin Is."/>
                    <xsd:enumeration value="Brunei"/>
                    <xsd:enumeration value="Bulgaria"/>
                    <xsd:enumeration value="Burkina Faso"/>
                    <xsd:enumeration value="Burma"/>
                    <xsd:enumeration value="Burundi"/>
                    <xsd:enumeration value="Cambodia"/>
                    <xsd:enumeration value="Cameroon"/>
                    <xsd:enumeration value="Canada"/>
                    <xsd:enumeration value="Cape Verde"/>
                    <xsd:enumeration value="Cayman Islands"/>
                    <xsd:enumeration value="Central African Rep.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, Dem. Rep."/>
                    <xsd:enumeration value="Congo, Repub. of the"/>
                    <xsd:enumeration value="Cook Islands"/>
                    <xsd:enumeration value="Costa Rica"/>
                    <xsd:enumeration value="Cote d'Ivoire"/>
                    <xsd:enumeration value="Croatia"/>
                    <xsd:enumeration value="Cuba"/>
                    <xsd:enumeration value="Cyprus"/>
                    <xsd:enumeration value="Czech Republic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ast Timor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thiopia"/>
                    <xsd:enumeration value="Faroe Islands"/>
                    <xsd:enumeration value="Fiji"/>
                    <xsd:enumeration value="Finland"/>
                    <xsd:enumeration value="France"/>
                    <xsd:enumeration value="French Guiana"/>
                    <xsd:enumeration value="French Polynesia"/>
                    <xsd:enumeration value="Gabon"/>
                    <xsd:enumeration value="Gambia, The"/>
                    <xsd:enumeration value="Gaza Strip"/>
                    <xsd:enumeration value="Georgia"/>
                    <xsd:enumeration value="Germany"/>
                    <xsd:enumeration value="Ghana"/>
                    <xsd:enumeration value="Gibraltar"/>
                    <xsd:enumeration value="Greece"/>
                    <xsd:enumeration value="Greenland"/>
                    <xsd:enumeration value="Grenada"/>
                    <xsd:enumeration value="Guadeloupe"/>
                    <xsd:enumeration value="Guam"/>
                    <xsd:enumeration value="Guatemala"/>
                    <xsd:enumeration value="Guernsey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ong Kong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le of Man"/>
                    <xsd:enumeration value="Israel"/>
                    <xsd:enumeration value="Italy"/>
                    <xsd:enumeration value="Jamaica"/>
                    <xsd:enumeration value="Japan"/>
                    <xsd:enumeration value="Jersey"/>
                    <xsd:enumeration value="Jordan"/>
                    <xsd:enumeration value="Kazakhstan"/>
                    <xsd:enumeration value="Kenya"/>
                    <xsd:enumeration value="Kiribati"/>
                    <xsd:enumeration value="Korea, North"/>
                    <xsd:enumeration value="Korea, South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cau"/>
                    <xsd:enumeration value="Macedonia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rtinique"/>
                    <xsd:enumeration value="Mauritania"/>
                    <xsd:enumeration value="Mauritius"/>
                    <xsd:enumeration value="Mayotte"/>
                    <xsd:enumeration value="Mexico"/>
                    <xsd:enumeration value="Micronesia, Fed. St."/>
                    <xsd:enumeration value="Moldova"/>
                    <xsd:enumeration value="Monaco"/>
                    <xsd:enumeration value="Mongolia"/>
                    <xsd:enumeration value="Montserrat"/>
                    <xsd:enumeration value="Morocco"/>
                    <xsd:enumeration value="Mozambique"/>
                    <xsd:enumeration value="Namibia"/>
                    <xsd:enumeration value="Nauru"/>
                    <xsd:enumeration value="Nepal"/>
                    <xsd:enumeration value="Netherlands"/>
                    <xsd:enumeration value="Netherlands Antilles"/>
                    <xsd:enumeration value="New Caledonia"/>
                    <xsd:enumeration value="New Zealand"/>
                    <xsd:enumeration value="Nicaragua"/>
                    <xsd:enumeration value="Niger"/>
                    <xsd:enumeration value="Nigeria"/>
                    <xsd:enumeration value="N. Mariana Islands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Puerto Rico"/>
                    <xsd:enumeration value="Qatar"/>
                    <xsd:enumeration value="Reunion"/>
                    <xsd:enumeration value="Romania"/>
                    <xsd:enumeration value="Russia"/>
                    <xsd:enumeration value="Rwanda"/>
                    <xsd:enumeration value="Saint Helena"/>
                    <xsd:enumeration value="Saint Kitts &amp; Nevis"/>
                    <xsd:enumeration value="Saint Lucia"/>
                    <xsd:enumeration value="St Pierre &amp; Miquelon"/>
                    <xsd:enumeration value="Saint Vincent and the Grenadines"/>
                    <xsd:enumeration value="Samoa"/>
                    <xsd:enumeration value="San Marino"/>
                    <xsd:enumeration value="Sao Tome &amp;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iwan"/>
                    <xsd:enumeration value="Tajikistan"/>
                    <xsd:enumeration value="Tanzania"/>
                    <xsd:enumeration value="Thailand"/>
                    <xsd:enumeration value="Togo"/>
                    <xsd:enumeration value="Tonga"/>
                    <xsd:enumeration value="Trinidad &amp; Tobago"/>
                    <xsd:enumeration value="Tunisia"/>
                    <xsd:enumeration value="Turkey"/>
                    <xsd:enumeration value="Turkmenistan"/>
                    <xsd:enumeration value="Turks &amp; Caicos Is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nam"/>
                    <xsd:enumeration value="Virgin Islands"/>
                    <xsd:enumeration value="Wallis and Futuna"/>
                    <xsd:enumeration value="West Bank"/>
                    <xsd:enumeration value="Western Sahara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6296-04f2-4b59-a884-7fa598fd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9f76-461d-438b-a458-76b921724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f56f-97bb-4ee3-be73-39c4c446a25c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53539-0112-4B7F-AFB5-AD8B651C9FCF}">
  <ds:schemaRefs>
    <ds:schemaRef ds:uri="http://schemas.microsoft.com/office/2006/metadata/properties"/>
    <ds:schemaRef ds:uri="http://schemas.microsoft.com/office/infopath/2007/PartnerControls"/>
    <ds:schemaRef ds:uri="d9bd41cc-021d-46bc-9033-b22ce42fed58"/>
    <ds:schemaRef ds:uri="http://schemas.microsoft.com/sharepoint/v3"/>
    <ds:schemaRef ds:uri="cd58f56f-97bb-4ee3-be73-39c4c446a25c"/>
  </ds:schemaRefs>
</ds:datastoreItem>
</file>

<file path=customXml/itemProps2.xml><?xml version="1.0" encoding="utf-8"?>
<ds:datastoreItem xmlns:ds="http://schemas.openxmlformats.org/officeDocument/2006/customXml" ds:itemID="{4B7E2C25-F9D5-438B-9DC2-F9C6D7299B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076BB6-BD4D-42CD-8DFD-26839D789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F71C0-A4A3-4A48-A58F-3AAD76C79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bd41cc-021d-46bc-9033-b22ce42fed58"/>
    <ds:schemaRef ds:uri="184c6296-04f2-4b59-a884-7fa598fd8790"/>
    <ds:schemaRef ds:uri="55fa9f76-461d-438b-a458-76b921724d9e"/>
    <ds:schemaRef ds:uri="cd58f56f-97bb-4ee3-be73-39c4c446a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</dc:creator>
  <cp:keywords/>
  <dc:description/>
  <cp:lastModifiedBy>gysel</cp:lastModifiedBy>
  <cp:revision>2</cp:revision>
  <cp:lastPrinted>2018-09-26T15:37:00Z</cp:lastPrinted>
  <dcterms:created xsi:type="dcterms:W3CDTF">2021-04-19T08:09:00Z</dcterms:created>
  <dcterms:modified xsi:type="dcterms:W3CDTF">2021-04-19T08:09:00Z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0x01010084103E0C151F924FA83B19054363992E</vt:lpwstr>
  </property>
  <property fmtid="{D5CDD505-2E9C-101B-9397-08002B2CF9AE}" pid="3" name="_dlc_DocIdItemGuid">
    <vt:lpwstr>d1b41c7d-ec10-4162-8fcb-4731ec1273b9</vt:lpwstr>
  </property>
</Properties>
</file>